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08" w:rsidRPr="00F53FA7" w:rsidRDefault="00A66208" w:rsidP="00920FF5">
      <w:pPr>
        <w:pStyle w:val="NoSpacing"/>
        <w:rPr>
          <w:b/>
          <w:bCs/>
        </w:rPr>
      </w:pPr>
      <w:r w:rsidRPr="00F53FA7">
        <w:rPr>
          <w:b/>
          <w:bCs/>
        </w:rPr>
        <w:t>GOHERR  - Integrated governance of Baltic herring and salmon stocks involving stakeholders</w:t>
      </w:r>
    </w:p>
    <w:p w:rsidR="00A66208" w:rsidRDefault="00A66208" w:rsidP="00920FF5">
      <w:pPr>
        <w:pStyle w:val="NoSpacing"/>
      </w:pPr>
    </w:p>
    <w:p w:rsidR="00A66208" w:rsidRDefault="00A66208" w:rsidP="00920FF5">
      <w:pPr>
        <w:pStyle w:val="NoSpacing"/>
      </w:pPr>
      <w:r>
        <w:rPr>
          <w:b/>
          <w:bCs/>
        </w:rPr>
        <w:t>First project meeting (K</w:t>
      </w:r>
      <w:r w:rsidRPr="00F53FA7">
        <w:rPr>
          <w:b/>
          <w:bCs/>
        </w:rPr>
        <w:t>ick off)</w:t>
      </w:r>
      <w:r w:rsidRPr="00F53FA7">
        <w:rPr>
          <w:b/>
          <w:bCs/>
        </w:rPr>
        <w:tab/>
      </w:r>
      <w:r>
        <w:tab/>
      </w:r>
      <w:r>
        <w:tab/>
      </w:r>
      <w:r>
        <w:tab/>
      </w:r>
      <w:r w:rsidRPr="00F53FA7">
        <w:rPr>
          <w:b/>
          <w:bCs/>
        </w:rPr>
        <w:t>MINUTES</w:t>
      </w:r>
      <w:r>
        <w:rPr>
          <w:b/>
          <w:bCs/>
        </w:rPr>
        <w:t xml:space="preserve"> / P. Haapasaari</w:t>
      </w:r>
      <w:r>
        <w:tab/>
      </w:r>
      <w:r>
        <w:tab/>
      </w:r>
    </w:p>
    <w:p w:rsidR="00A66208" w:rsidRDefault="00A66208" w:rsidP="00920FF5">
      <w:pPr>
        <w:pStyle w:val="NoSpacing"/>
      </w:pPr>
    </w:p>
    <w:p w:rsidR="00A66208" w:rsidRPr="00592D99" w:rsidRDefault="00A66208" w:rsidP="00920FF5">
      <w:pPr>
        <w:pStyle w:val="NoSpacing"/>
        <w:rPr>
          <w:lang w:val="fi-FI"/>
        </w:rPr>
      </w:pPr>
      <w:r w:rsidRPr="00592D99">
        <w:rPr>
          <w:lang w:val="fi-FI"/>
        </w:rPr>
        <w:t xml:space="preserve">Time: 20 – 22 April 2015 (Mon – Wed) </w:t>
      </w:r>
    </w:p>
    <w:p w:rsidR="00A66208" w:rsidRPr="00592D99" w:rsidRDefault="00A66208" w:rsidP="00920FF5">
      <w:pPr>
        <w:pStyle w:val="NoSpacing"/>
        <w:rPr>
          <w:lang w:val="fi-FI"/>
        </w:rPr>
      </w:pPr>
      <w:r w:rsidRPr="00592D99">
        <w:rPr>
          <w:lang w:val="fi-FI"/>
        </w:rPr>
        <w:t>Place: Vanha ylioppilastalo, Helsinki</w:t>
      </w:r>
    </w:p>
    <w:p w:rsidR="00A66208" w:rsidRPr="00592D99" w:rsidRDefault="00A66208" w:rsidP="00920FF5">
      <w:pPr>
        <w:pStyle w:val="NoSpacing"/>
        <w:rPr>
          <w:lang w:val="fi-FI"/>
        </w:rPr>
      </w:pPr>
    </w:p>
    <w:p w:rsidR="00A66208" w:rsidRPr="00592D99" w:rsidRDefault="00A66208" w:rsidP="00920FF5">
      <w:pPr>
        <w:pStyle w:val="NoSpacing"/>
        <w:rPr>
          <w:lang w:val="fi-FI"/>
        </w:rPr>
      </w:pPr>
      <w:r w:rsidRPr="00592D99">
        <w:rPr>
          <w:lang w:val="fi-FI"/>
        </w:rPr>
        <w:t xml:space="preserve">Participants: </w:t>
      </w:r>
      <w:r w:rsidRPr="00592D99">
        <w:rPr>
          <w:lang w:val="fi-FI"/>
        </w:rPr>
        <w:tab/>
        <w:t>Sakari Kuikka (UH)</w:t>
      </w:r>
    </w:p>
    <w:p w:rsidR="00A66208" w:rsidRPr="00592D99" w:rsidRDefault="00A66208" w:rsidP="00920FF5">
      <w:pPr>
        <w:pStyle w:val="NoSpacing"/>
        <w:rPr>
          <w:lang w:val="fi-FI"/>
        </w:rPr>
      </w:pPr>
      <w:r w:rsidRPr="00592D99">
        <w:rPr>
          <w:lang w:val="fi-FI"/>
        </w:rPr>
        <w:tab/>
      </w:r>
      <w:r w:rsidRPr="00592D99">
        <w:rPr>
          <w:lang w:val="fi-FI"/>
        </w:rPr>
        <w:tab/>
        <w:t>Kirsi Hoviniemi (UH)</w:t>
      </w:r>
    </w:p>
    <w:p w:rsidR="00A66208" w:rsidRPr="00592D99" w:rsidRDefault="00A66208" w:rsidP="00920FF5">
      <w:pPr>
        <w:pStyle w:val="NoSpacing"/>
        <w:rPr>
          <w:lang w:val="fi-FI"/>
        </w:rPr>
      </w:pPr>
      <w:r w:rsidRPr="00592D99">
        <w:rPr>
          <w:lang w:val="fi-FI"/>
        </w:rPr>
        <w:tab/>
      </w:r>
      <w:r w:rsidRPr="00592D99">
        <w:rPr>
          <w:lang w:val="fi-FI"/>
        </w:rPr>
        <w:tab/>
        <w:t>Päivi Haapasaari (UH)</w:t>
      </w:r>
    </w:p>
    <w:p w:rsidR="00A66208" w:rsidRPr="00592D99" w:rsidRDefault="00A66208" w:rsidP="00920FF5">
      <w:pPr>
        <w:pStyle w:val="NoSpacing"/>
        <w:rPr>
          <w:lang w:val="sv-SE"/>
        </w:rPr>
      </w:pPr>
      <w:r w:rsidRPr="00592D99">
        <w:rPr>
          <w:lang w:val="fi-FI"/>
        </w:rPr>
        <w:tab/>
      </w:r>
      <w:r w:rsidRPr="00592D99">
        <w:rPr>
          <w:lang w:val="fi-FI"/>
        </w:rPr>
        <w:tab/>
      </w:r>
      <w:r w:rsidRPr="00592D99">
        <w:rPr>
          <w:lang w:val="sv-SE"/>
        </w:rPr>
        <w:t>Suvi Ignatius (UH)</w:t>
      </w:r>
    </w:p>
    <w:p w:rsidR="00A66208" w:rsidRPr="00592D99" w:rsidRDefault="00A66208" w:rsidP="00920FF5">
      <w:pPr>
        <w:pStyle w:val="NoSpacing"/>
        <w:rPr>
          <w:lang w:val="sv-SE"/>
        </w:rPr>
      </w:pPr>
      <w:r w:rsidRPr="00592D99">
        <w:rPr>
          <w:lang w:val="sv-SE"/>
        </w:rPr>
        <w:tab/>
      </w:r>
      <w:r w:rsidRPr="00592D99">
        <w:rPr>
          <w:lang w:val="sv-SE"/>
        </w:rPr>
        <w:tab/>
        <w:t>Anna Gårdmark (SLU)</w:t>
      </w:r>
    </w:p>
    <w:p w:rsidR="00A66208" w:rsidRPr="00592D99" w:rsidRDefault="00A66208" w:rsidP="00920FF5">
      <w:pPr>
        <w:pStyle w:val="NoSpacing"/>
        <w:rPr>
          <w:lang w:val="sv-SE"/>
        </w:rPr>
      </w:pPr>
      <w:r w:rsidRPr="00592D99">
        <w:rPr>
          <w:lang w:val="sv-SE"/>
        </w:rPr>
        <w:tab/>
      </w:r>
      <w:r w:rsidRPr="00592D99">
        <w:rPr>
          <w:lang w:val="sv-SE"/>
        </w:rPr>
        <w:tab/>
        <w:t>Johan Östergren (SLU)</w:t>
      </w:r>
    </w:p>
    <w:p w:rsidR="00A66208" w:rsidRPr="00592D99" w:rsidRDefault="00A66208" w:rsidP="00920FF5">
      <w:pPr>
        <w:pStyle w:val="NoSpacing"/>
        <w:rPr>
          <w:lang w:val="sv-SE"/>
        </w:rPr>
      </w:pPr>
      <w:r w:rsidRPr="00592D99">
        <w:rPr>
          <w:lang w:val="sv-SE"/>
        </w:rPr>
        <w:tab/>
      </w:r>
      <w:r w:rsidRPr="00592D99">
        <w:rPr>
          <w:lang w:val="sv-SE"/>
        </w:rPr>
        <w:tab/>
        <w:t>Alyne Delaney (IFM-AAU)</w:t>
      </w:r>
    </w:p>
    <w:p w:rsidR="00A66208" w:rsidRPr="00F53FA7" w:rsidRDefault="00A66208" w:rsidP="00920FF5">
      <w:pPr>
        <w:pStyle w:val="NoSpacing"/>
        <w:rPr>
          <w:lang w:val="fi-FI"/>
        </w:rPr>
      </w:pPr>
      <w:r w:rsidRPr="00592D99">
        <w:rPr>
          <w:lang w:val="sv-SE"/>
        </w:rPr>
        <w:tab/>
      </w:r>
      <w:r w:rsidRPr="00592D99">
        <w:rPr>
          <w:lang w:val="sv-SE"/>
        </w:rPr>
        <w:tab/>
      </w:r>
      <w:r w:rsidRPr="00F53FA7">
        <w:rPr>
          <w:lang w:val="fi-FI"/>
        </w:rPr>
        <w:t>Simo Sarkki (UOul)</w:t>
      </w:r>
    </w:p>
    <w:p w:rsidR="00A66208" w:rsidRPr="00F53FA7" w:rsidRDefault="00A66208" w:rsidP="00920FF5">
      <w:pPr>
        <w:pStyle w:val="NoSpacing"/>
        <w:rPr>
          <w:lang w:val="fi-FI"/>
        </w:rPr>
      </w:pPr>
      <w:r w:rsidRPr="00F53FA7">
        <w:rPr>
          <w:lang w:val="fi-FI"/>
        </w:rPr>
        <w:tab/>
      </w:r>
      <w:r w:rsidRPr="00F53FA7">
        <w:rPr>
          <w:lang w:val="fi-FI"/>
        </w:rPr>
        <w:tab/>
        <w:t>Mia Pihlajamäki (UOul)</w:t>
      </w:r>
    </w:p>
    <w:p w:rsidR="00A66208" w:rsidRPr="00F53FA7" w:rsidRDefault="00A66208" w:rsidP="00920FF5">
      <w:pPr>
        <w:pStyle w:val="NoSpacing"/>
        <w:rPr>
          <w:lang w:val="fi-FI"/>
        </w:rPr>
      </w:pPr>
      <w:r w:rsidRPr="00F53FA7">
        <w:rPr>
          <w:lang w:val="fi-FI"/>
        </w:rPr>
        <w:tab/>
      </w:r>
      <w:r w:rsidRPr="00F53FA7">
        <w:rPr>
          <w:lang w:val="fi-FI"/>
        </w:rPr>
        <w:tab/>
        <w:t>Jouni Tuomisto (THL)</w:t>
      </w:r>
    </w:p>
    <w:p w:rsidR="00A66208" w:rsidRPr="00F53FA7" w:rsidRDefault="00A66208" w:rsidP="00920FF5">
      <w:pPr>
        <w:pStyle w:val="NoSpacing"/>
        <w:rPr>
          <w:lang w:val="fi-FI"/>
        </w:rPr>
      </w:pPr>
      <w:r w:rsidRPr="00F53FA7">
        <w:rPr>
          <w:lang w:val="fi-FI"/>
        </w:rPr>
        <w:tab/>
      </w:r>
      <w:r w:rsidRPr="00F53FA7">
        <w:rPr>
          <w:lang w:val="fi-FI"/>
        </w:rPr>
        <w:tab/>
        <w:t>Arja Asikainen (THL)</w:t>
      </w:r>
    </w:p>
    <w:p w:rsidR="00A66208" w:rsidRDefault="00A66208" w:rsidP="00920FF5">
      <w:pPr>
        <w:pStyle w:val="NoSpacing"/>
      </w:pPr>
      <w:r w:rsidRPr="00F53FA7">
        <w:rPr>
          <w:lang w:val="fi-FI"/>
        </w:rPr>
        <w:tab/>
      </w:r>
      <w:r w:rsidRPr="00F53FA7">
        <w:rPr>
          <w:lang w:val="fi-FI"/>
        </w:rPr>
        <w:tab/>
      </w:r>
      <w:r>
        <w:t>Andris Andrusaitis (BONUS Secretariat)</w:t>
      </w:r>
    </w:p>
    <w:p w:rsidR="00A66208" w:rsidRDefault="00A66208" w:rsidP="00920FF5">
      <w:pPr>
        <w:pStyle w:val="NoSpacing"/>
      </w:pPr>
      <w:r>
        <w:tab/>
      </w:r>
      <w:r>
        <w:tab/>
      </w:r>
    </w:p>
    <w:p w:rsidR="00A66208" w:rsidRDefault="00A66208" w:rsidP="00920FF5">
      <w:pPr>
        <w:pStyle w:val="NoSpacing"/>
      </w:pPr>
      <w:r>
        <w:tab/>
      </w:r>
      <w:r>
        <w:tab/>
      </w:r>
    </w:p>
    <w:p w:rsidR="00A66208" w:rsidRDefault="00A66208" w:rsidP="00BE5F90">
      <w:pPr>
        <w:pStyle w:val="NoSpacing"/>
      </w:pPr>
      <w:r>
        <w:t>GOHERR Kick off-meeting was scheduled for 3 days. The meeting started at 12.15 on Monday, and ended at 15.00 on Friday. The program followed the agenda of the meeting. The first day (Mon) was an introductory day. The aim was to get acquainted with each other and with the upcoming work in GOHERR.</w:t>
      </w:r>
      <w:r w:rsidRPr="00B379B1">
        <w:t xml:space="preserve"> </w:t>
      </w:r>
      <w:r>
        <w:t>On Monday, Andris Andrusaitis from the BONUS secretariat joined us and gave a BONUS introductory talk on behalf of the Secretariat, answered questions, and presented administrative issues. On the second day (Tue) Jouni Tuomisto and Arja Asikainen from THL introduced the Open Policy Practice, and the Opasnet workspace for us, and taught us, in practice, how to use it in GOHERR.</w:t>
      </w:r>
      <w:r w:rsidRPr="00777C45">
        <w:t xml:space="preserve"> </w:t>
      </w:r>
      <w:r>
        <w:t>Opasnet will be the main workspace for the project, as described in the DoW. Opasnet workspace for GOHERR and own pages for each WP were created and discussions regarding the upcoming work started. On the third day (Wed) we continued planned the coming work both all together and in small groups that related to the different WPs/Tasks. The results of the discussions/decisions are recorded in Opasnet. The discussion will continue in Opasnet also between meetings.</w:t>
      </w:r>
    </w:p>
    <w:p w:rsidR="00A66208" w:rsidRPr="00B379B1" w:rsidRDefault="00A66208" w:rsidP="00BE5F90">
      <w:pPr>
        <w:pStyle w:val="NoSpacing"/>
      </w:pPr>
    </w:p>
    <w:p w:rsidR="00A66208" w:rsidRPr="00FF4985" w:rsidRDefault="00A66208" w:rsidP="00BE5F90">
      <w:pPr>
        <w:pStyle w:val="NoSpacing"/>
        <w:rPr>
          <w:b/>
          <w:bCs/>
        </w:rPr>
      </w:pPr>
      <w:r>
        <w:rPr>
          <w:b/>
          <w:bCs/>
        </w:rPr>
        <w:t>1</w:t>
      </w:r>
      <w:r w:rsidRPr="003235D0">
        <w:rPr>
          <w:b/>
          <w:bCs/>
          <w:vertAlign w:val="superscript"/>
        </w:rPr>
        <w:t>st</w:t>
      </w:r>
      <w:r>
        <w:rPr>
          <w:b/>
          <w:bCs/>
        </w:rPr>
        <w:t xml:space="preserve"> Day (</w:t>
      </w:r>
      <w:r w:rsidRPr="00FF4985">
        <w:rPr>
          <w:b/>
          <w:bCs/>
        </w:rPr>
        <w:t>Monday 20</w:t>
      </w:r>
      <w:r w:rsidRPr="00FF4985">
        <w:rPr>
          <w:b/>
          <w:bCs/>
          <w:vertAlign w:val="superscript"/>
        </w:rPr>
        <w:t>th</w:t>
      </w:r>
      <w:r w:rsidRPr="00FF4985">
        <w:rPr>
          <w:b/>
          <w:bCs/>
        </w:rPr>
        <w:t xml:space="preserve"> April</w:t>
      </w:r>
      <w:r>
        <w:rPr>
          <w:b/>
          <w:bCs/>
        </w:rPr>
        <w:t>)</w:t>
      </w:r>
    </w:p>
    <w:p w:rsidR="00A66208" w:rsidRDefault="00A66208" w:rsidP="00BE5F90">
      <w:pPr>
        <w:pStyle w:val="NoSpacing"/>
      </w:pPr>
    </w:p>
    <w:p w:rsidR="00A66208" w:rsidRDefault="00A66208">
      <w:r>
        <w:t xml:space="preserve">The first presentation was given by </w:t>
      </w:r>
      <w:r w:rsidRPr="00217DF9">
        <w:t>Andris Andrusaitis</w:t>
      </w:r>
      <w:r>
        <w:t>. He</w:t>
      </w:r>
      <w:r w:rsidRPr="00217DF9">
        <w:t xml:space="preserve"> p</w:t>
      </w:r>
      <w:r>
        <w:t xml:space="preserve">resented the BONUS program, the Secretariat and the sister projects of GOHERR (see presentation in Opasnet). He referred to projects that have common interests with GOHERR: INSPIRE (spatial processes influencing the utilization of fish); CHANGE, GO4BALTIC, MIRACLE (governance structures, performance and policy instruments). Other issues highlighted by Andris: </w:t>
      </w:r>
    </w:p>
    <w:p w:rsidR="00A66208" w:rsidRDefault="00A66208" w:rsidP="007A6069">
      <w:pPr>
        <w:pStyle w:val="ListParagraph"/>
        <w:numPr>
          <w:ilvl w:val="0"/>
          <w:numId w:val="1"/>
        </w:numPr>
      </w:pPr>
      <w:r>
        <w:t>Update the dissemination level of deliverables according to the new instructions (Appendix 1)</w:t>
      </w:r>
    </w:p>
    <w:p w:rsidR="00A66208" w:rsidRDefault="00A66208" w:rsidP="007A6069">
      <w:pPr>
        <w:pStyle w:val="ListParagraph"/>
        <w:numPr>
          <w:ilvl w:val="0"/>
          <w:numId w:val="1"/>
        </w:numPr>
      </w:pPr>
      <w:r>
        <w:t xml:space="preserve">Blogs and other activities for young scientists, e.g. a meeting in </w:t>
      </w:r>
      <w:smartTag w:uri="urn:schemas-microsoft-com:office:smarttags" w:element="place">
        <w:smartTag w:uri="urn:schemas-microsoft-com:office:smarttags" w:element="City">
          <w:r>
            <w:t>Riga</w:t>
          </w:r>
        </w:smartTag>
      </w:smartTag>
      <w:r>
        <w:t xml:space="preserve">. </w:t>
      </w:r>
    </w:p>
    <w:p w:rsidR="00A66208" w:rsidRDefault="00A66208" w:rsidP="007A6069">
      <w:pPr>
        <w:pStyle w:val="ListParagraph"/>
        <w:numPr>
          <w:ilvl w:val="0"/>
          <w:numId w:val="1"/>
        </w:numPr>
      </w:pPr>
      <w:r>
        <w:t xml:space="preserve">Kick off meeting for all new BONUS projects probably in November. At least the project coordinators are expected to participate, but also WP leaders are welcome.  </w:t>
      </w:r>
    </w:p>
    <w:p w:rsidR="00A66208" w:rsidRDefault="00A66208" w:rsidP="007A6069">
      <w:pPr>
        <w:pStyle w:val="ListParagraph"/>
        <w:numPr>
          <w:ilvl w:val="0"/>
          <w:numId w:val="1"/>
        </w:numPr>
      </w:pPr>
      <w:r>
        <w:t xml:space="preserve">The project meetings must be rescheduled according to the start of the project in April. Our next meeting together with the Stakeholder workshop nr 1 has been rescheduled to Jan-Feb 2016, and as Alyne Delaney informed us that she will be in </w:t>
      </w:r>
      <w:smartTag w:uri="urn:schemas-microsoft-com:office:smarttags" w:element="country-region">
        <w:r>
          <w:t>Japan</w:t>
        </w:r>
      </w:smartTag>
      <w:r>
        <w:t xml:space="preserve"> in January, we now aim at having the meeting in February 2016. </w:t>
      </w:r>
    </w:p>
    <w:p w:rsidR="00A66208" w:rsidRDefault="00A66208" w:rsidP="007A6069">
      <w:pPr>
        <w:pStyle w:val="ListParagraph"/>
        <w:numPr>
          <w:ilvl w:val="0"/>
          <w:numId w:val="1"/>
        </w:numPr>
      </w:pPr>
      <w:r>
        <w:t xml:space="preserve">Instructions for reporting can be found in BONUS www-pages: an appropriate number of pages for scientific reporting is 30 pages. </w:t>
      </w:r>
    </w:p>
    <w:p w:rsidR="00A66208" w:rsidRDefault="00A66208" w:rsidP="007A6069">
      <w:pPr>
        <w:pStyle w:val="ListParagraph"/>
        <w:numPr>
          <w:ilvl w:val="0"/>
          <w:numId w:val="1"/>
        </w:numPr>
      </w:pPr>
      <w:r>
        <w:t>In periodic reports we must remember to update our performance statistics related to e.g. how many times our results have been used, how many times we have presented our studies etc. (see Guide for BONUS project participants (</w:t>
      </w:r>
      <w:r w:rsidRPr="00CD3F90">
        <w:t>http://www.bonusportal.org/files/3000/2014_11_20_Guide_for_BONUS_participants_November_2014.pdf</w:t>
      </w:r>
      <w:r>
        <w:t>)</w:t>
      </w:r>
    </w:p>
    <w:p w:rsidR="00A66208" w:rsidRDefault="00A66208" w:rsidP="007A6069">
      <w:pPr>
        <w:pStyle w:val="ListParagraph"/>
        <w:numPr>
          <w:ilvl w:val="0"/>
          <w:numId w:val="1"/>
        </w:numPr>
      </w:pPr>
      <w:r>
        <w:t xml:space="preserve">Timely deliverables with checked dissemination levels </w:t>
      </w:r>
    </w:p>
    <w:p w:rsidR="00A66208" w:rsidRDefault="00A66208" w:rsidP="001B0F48">
      <w:pPr>
        <w:pStyle w:val="NoSpacing"/>
      </w:pPr>
      <w:r>
        <w:t>The work packages were presented by the WP leaders, with the voice of the presenter recorded using the Power Point recorder.  All presentations will be uploaded in Opasnet-workspace.</w:t>
      </w:r>
    </w:p>
    <w:p w:rsidR="00A66208" w:rsidRDefault="00A66208" w:rsidP="001B0F48">
      <w:pPr>
        <w:pStyle w:val="NoSpacing"/>
      </w:pPr>
    </w:p>
    <w:p w:rsidR="00A66208" w:rsidRDefault="00A66208">
      <w:r>
        <w:t xml:space="preserve">Kirsi Hoviniemi presented WP1 (project management) (see presentation in Opasnet). </w:t>
      </w:r>
    </w:p>
    <w:p w:rsidR="00A66208" w:rsidRDefault="00A66208">
      <w:r>
        <w:t xml:space="preserve">As his welcome talk, project coordinator Sakari Kuikka presented the risk analysis work of his research group (Fisheries and Environmental Management group (FEM) of the University of Helsinki) especially focusing on oil disaster risks, Bayesian inference, and the aims of GOHERR in relation to learning and communicating risks (see presentation in Opasnet). </w:t>
      </w:r>
    </w:p>
    <w:p w:rsidR="00A66208" w:rsidRDefault="00A66208">
      <w:r>
        <w:t xml:space="preserve">Jouni Tuomisto gave a presentation on dioxin in the </w:t>
      </w:r>
      <w:smartTag w:uri="urn:schemas-microsoft-com:office:smarttags" w:element="country-region">
        <w:r>
          <w:t>Baltic Sea</w:t>
        </w:r>
      </w:smartTag>
      <w:r>
        <w:t>, fish, and its impact on humans (see presentation in Opasnet).</w:t>
      </w:r>
    </w:p>
    <w:p w:rsidR="00A66208" w:rsidRDefault="00A66208">
      <w:r>
        <w:t xml:space="preserve">Alyne Delaney presented the objectives and tasks of WP2. When mentioning about the course in marine governance that will be arranged at the </w:t>
      </w:r>
      <w:smartTag w:uri="urn:schemas-microsoft-com:office:smarttags" w:element="country-region">
        <w:smartTag w:uri="urn:schemas-microsoft-com:office:smarttags" w:element="country-region">
          <w:r>
            <w:t>University</w:t>
          </w:r>
        </w:smartTag>
        <w:r>
          <w:t xml:space="preserve"> of </w:t>
        </w:r>
        <w:smartTag w:uri="urn:schemas-microsoft-com:office:smarttags" w:element="country-region">
          <w:r>
            <w:t>Aalborg</w:t>
          </w:r>
        </w:smartTag>
      </w:smartTag>
      <w:r>
        <w:t xml:space="preserve">, Andris reminded that this kind of issues, courses etc., must be informed in the BONUS community timely. </w:t>
      </w:r>
    </w:p>
    <w:p w:rsidR="00A66208" w:rsidRDefault="00A66208">
      <w:r>
        <w:t xml:space="preserve">Anna Gårdmark presented WP4. </w:t>
      </w:r>
    </w:p>
    <w:p w:rsidR="00A66208" w:rsidRDefault="00A66208" w:rsidP="000F75B4">
      <w:pPr>
        <w:rPr>
          <w:b/>
          <w:bCs/>
        </w:rPr>
      </w:pPr>
      <w:r>
        <w:t xml:space="preserve">The day ended at 18.15. As time run off, we had to leave two WP presentations to be given on Tuesday. We had a dinner in restaurant The Cock.  </w:t>
      </w:r>
    </w:p>
    <w:p w:rsidR="00A66208" w:rsidRPr="00264BE0" w:rsidRDefault="00A66208" w:rsidP="003235D0">
      <w:pPr>
        <w:pStyle w:val="ListParagraph"/>
        <w:ind w:left="0"/>
        <w:rPr>
          <w:b/>
          <w:bCs/>
        </w:rPr>
      </w:pPr>
      <w:r>
        <w:rPr>
          <w:b/>
          <w:bCs/>
        </w:rPr>
        <w:t>2</w:t>
      </w:r>
      <w:r w:rsidRPr="003235D0">
        <w:rPr>
          <w:b/>
          <w:bCs/>
          <w:vertAlign w:val="superscript"/>
        </w:rPr>
        <w:t>nd</w:t>
      </w:r>
      <w:r>
        <w:rPr>
          <w:b/>
          <w:bCs/>
        </w:rPr>
        <w:t xml:space="preserve"> Day (</w:t>
      </w:r>
      <w:r w:rsidRPr="00264BE0">
        <w:rPr>
          <w:b/>
          <w:bCs/>
        </w:rPr>
        <w:t>Tuesday 21 April</w:t>
      </w:r>
      <w:r>
        <w:rPr>
          <w:b/>
          <w:bCs/>
        </w:rPr>
        <w:t>)</w:t>
      </w:r>
      <w:r w:rsidRPr="00264BE0">
        <w:rPr>
          <w:b/>
          <w:bCs/>
        </w:rPr>
        <w:t xml:space="preserve"> </w:t>
      </w:r>
    </w:p>
    <w:p w:rsidR="00A66208" w:rsidRDefault="00A66208">
      <w:r>
        <w:t>Arja Asikainen presented WP5 (see presentation in Opasnet)</w:t>
      </w:r>
    </w:p>
    <w:p w:rsidR="00A66208" w:rsidRDefault="00A66208">
      <w:r>
        <w:t>Päivi Haapasaari presented WP6 and WP7, and the milestones of the whole project (see presentation in Opasnet)</w:t>
      </w:r>
    </w:p>
    <w:p w:rsidR="00A66208" w:rsidRDefault="00A66208">
      <w:r>
        <w:t xml:space="preserve">Jouni Tuomisto and Arja Asikainen introduced the Opasnet workspace. GOHERR workspace was created, and the DoW texts related to different WP:s were uploaded. </w:t>
      </w:r>
    </w:p>
    <w:p w:rsidR="00A66208" w:rsidRDefault="00A66208">
      <w:r>
        <w:t>Discussions related to the WPs started, and the results of the discussions / decisions were saved in Opasnet:</w:t>
      </w:r>
    </w:p>
    <w:p w:rsidR="00A66208" w:rsidRDefault="00A66208">
      <w:r>
        <w:t xml:space="preserve">Discussions of the day: </w:t>
      </w:r>
    </w:p>
    <w:p w:rsidR="00A66208" w:rsidRDefault="00A66208" w:rsidP="00FB237F">
      <w:pPr>
        <w:numPr>
          <w:ilvl w:val="0"/>
          <w:numId w:val="3"/>
        </w:numPr>
      </w:pPr>
      <w:r>
        <w:t xml:space="preserve">Data needs for the decision support model (WP6)  </w:t>
      </w:r>
    </w:p>
    <w:p w:rsidR="00A66208" w:rsidRDefault="00A66208" w:rsidP="00FB237F">
      <w:pPr>
        <w:numPr>
          <w:ilvl w:val="0"/>
          <w:numId w:val="3"/>
        </w:numPr>
      </w:pPr>
      <w:r>
        <w:t>What kind of data WP 4 will produce to WP6 ? The amount how much people eat fish, from where the fish is caught, which species people eat and which size the fish is, affects the extent how people get dioxin.  WP4 will produce knowledge on the growth patterns of herring (size at age under different conditions). Age structure affects dioxin contents per size categories. The amount of dioxin in salmon is affected by salmon diet (herring). Then WP4 will study size-selective fishing impact on dioxin concentration, and thereby size structure for catch. Thus, given 1) a certain type of size-selectivity in fishing, 2) a certain type of predation pressure from salmon, and 3) a certain level of productivity, WP4 can produce simulated weight and length composition of the herring catch and dioxin content (modeled as being directly correlated to fat content) at length of herring in the catch.</w:t>
      </w:r>
    </w:p>
    <w:p w:rsidR="00A66208" w:rsidRDefault="00A66208">
      <w:pPr>
        <w:numPr>
          <w:ilvl w:val="0"/>
          <w:numId w:val="3"/>
        </w:numPr>
      </w:pPr>
      <w:r>
        <w:t xml:space="preserve">THL has more data on Baltic herring than on Baltic salmon, for exploring the concentration of dioxin in humans.  Salmon catch distribution data for salmon is needed, for making conclusions on who eats Baltic salmon. It was discussed where the dioxin comes from, sediment or air. We do not know that, but this affects the scenario building (wp 3, wp6).  </w:t>
      </w:r>
    </w:p>
    <w:p w:rsidR="00A66208" w:rsidRDefault="00A66208">
      <w:pPr>
        <w:numPr>
          <w:ilvl w:val="0"/>
          <w:numId w:val="3"/>
        </w:numPr>
      </w:pPr>
      <w:r>
        <w:t xml:space="preserve">As the selling of Baltic salmon and herring that exceed the maximum dioxin levels is prohibited in the EU (except in </w:t>
      </w:r>
      <w:smartTag w:uri="urn:schemas-microsoft-com:office:smarttags" w:element="country-region">
        <w:r>
          <w:t>Finland</w:t>
        </w:r>
      </w:smartTag>
      <w:r>
        <w:t xml:space="preserve"> and </w:t>
      </w:r>
      <w:smartTag w:uri="urn:schemas-microsoft-com:office:smarttags" w:element="country-region">
        <w:r>
          <w:t>Sweden</w:t>
        </w:r>
      </w:smartTag>
      <w:r>
        <w:t xml:space="preserve"> (herring and salmon), and in </w:t>
      </w:r>
      <w:smartTag w:uri="urn:schemas-microsoft-com:office:smarttags" w:element="country-region">
        <w:r>
          <w:t>Latvia</w:t>
        </w:r>
      </w:smartTag>
      <w:r>
        <w:t xml:space="preserve"> (salmon)) , where do the fishermen sell their catches? Johan will find out.</w:t>
      </w:r>
    </w:p>
    <w:p w:rsidR="00A66208" w:rsidRDefault="00A66208" w:rsidP="0005329F">
      <w:pPr>
        <w:rPr>
          <w:b/>
          <w:bCs/>
        </w:rPr>
      </w:pPr>
      <w:r w:rsidRPr="0005329F">
        <w:rPr>
          <w:b/>
          <w:bCs/>
        </w:rPr>
        <w:t>3</w:t>
      </w:r>
      <w:r w:rsidRPr="0005329F">
        <w:rPr>
          <w:b/>
          <w:bCs/>
          <w:vertAlign w:val="superscript"/>
        </w:rPr>
        <w:t>rd</w:t>
      </w:r>
      <w:r w:rsidRPr="0005329F">
        <w:rPr>
          <w:b/>
          <w:bCs/>
        </w:rPr>
        <w:t xml:space="preserve"> Day: </w:t>
      </w:r>
      <w:smartTag w:uri="urn:schemas-microsoft-com:office:smarttags" w:element="country-region">
        <w:r w:rsidRPr="0005329F">
          <w:rPr>
            <w:b/>
            <w:bCs/>
          </w:rPr>
          <w:t>Wednesday 22th April 2015</w:t>
        </w:r>
      </w:smartTag>
    </w:p>
    <w:p w:rsidR="00A66208" w:rsidRPr="0005329F" w:rsidRDefault="00A66208" w:rsidP="0005329F">
      <w:r>
        <w:t>Discussions related to WPs continued (see Opasnet):</w:t>
      </w:r>
    </w:p>
    <w:p w:rsidR="00A66208" w:rsidRDefault="00A66208" w:rsidP="00273B24">
      <w:pPr>
        <w:numPr>
          <w:ilvl w:val="0"/>
          <w:numId w:val="3"/>
        </w:numPr>
      </w:pPr>
      <w:r>
        <w:t xml:space="preserve">Links between WP:s and tasks. A table was made showing dependencies between WPs and Tasks (see Opasnet). </w:t>
      </w:r>
    </w:p>
    <w:p w:rsidR="00A66208" w:rsidRDefault="00A66208" w:rsidP="00273B24">
      <w:pPr>
        <w:numPr>
          <w:ilvl w:val="0"/>
          <w:numId w:val="3"/>
        </w:numPr>
      </w:pPr>
      <w:r>
        <w:t>Data needs of the Decision Support Model (WP6)</w:t>
      </w:r>
    </w:p>
    <w:p w:rsidR="00A66208" w:rsidRDefault="00A66208" w:rsidP="00273B24">
      <w:pPr>
        <w:numPr>
          <w:ilvl w:val="0"/>
          <w:numId w:val="3"/>
        </w:numPr>
      </w:pPr>
      <w:r>
        <w:t>How to define utility in the Decision Support Model?</w:t>
      </w:r>
    </w:p>
    <w:p w:rsidR="00A66208" w:rsidRPr="00842074" w:rsidRDefault="00A66208" w:rsidP="00273B24">
      <w:pPr>
        <w:numPr>
          <w:ilvl w:val="0"/>
          <w:numId w:val="3"/>
        </w:numPr>
        <w:rPr>
          <w:highlight w:val="yellow"/>
        </w:rPr>
      </w:pPr>
      <w:r>
        <w:t xml:space="preserve">Stakeholder workshop (M10). Tasks that will be included in the agenda must be further discussed and prioritized. At least the preliminary decision support model must be presented, in order to get feedback from the stakeholders regarding the management aims (that will be outlined based on the questionnaire study conducted in WP3). The stakeholder workshops will take place in the context of and right after (or before) project meetings. This will reduce travel costs.  </w:t>
      </w:r>
      <w:r w:rsidRPr="00842074">
        <w:rPr>
          <w:highlight w:val="yellow"/>
        </w:rPr>
        <w:t xml:space="preserve">The plan and budget for the stakeholder workshops: </w:t>
      </w:r>
    </w:p>
    <w:p w:rsidR="00A66208" w:rsidRPr="00842074" w:rsidRDefault="00A66208" w:rsidP="000A36A8">
      <w:pPr>
        <w:numPr>
          <w:ilvl w:val="1"/>
          <w:numId w:val="3"/>
        </w:numPr>
        <w:rPr>
          <w:highlight w:val="yellow"/>
        </w:rPr>
      </w:pPr>
      <w:r w:rsidRPr="00842074">
        <w:rPr>
          <w:highlight w:val="yellow"/>
        </w:rPr>
        <w:t xml:space="preserve">1. workshop in </w:t>
      </w:r>
      <w:smartTag w:uri="urn:schemas-microsoft-com:office:smarttags" w:element="country-region">
        <w:r w:rsidRPr="00842074">
          <w:rPr>
            <w:highlight w:val="yellow"/>
          </w:rPr>
          <w:t>Denmark</w:t>
        </w:r>
      </w:smartTag>
      <w:r w:rsidRPr="00842074">
        <w:rPr>
          <w:highlight w:val="yellow"/>
        </w:rPr>
        <w:t xml:space="preserve">, 2. in </w:t>
      </w:r>
      <w:smartTag w:uri="urn:schemas-microsoft-com:office:smarttags" w:element="country-region">
        <w:r w:rsidRPr="00842074">
          <w:rPr>
            <w:highlight w:val="yellow"/>
          </w:rPr>
          <w:t>Finland</w:t>
        </w:r>
      </w:smartTag>
    </w:p>
    <w:p w:rsidR="00A66208" w:rsidRPr="00842074" w:rsidRDefault="00A66208" w:rsidP="000A36A8">
      <w:pPr>
        <w:numPr>
          <w:ilvl w:val="1"/>
          <w:numId w:val="3"/>
        </w:numPr>
        <w:rPr>
          <w:highlight w:val="yellow"/>
        </w:rPr>
      </w:pPr>
      <w:r w:rsidRPr="00842074">
        <w:rPr>
          <w:highlight w:val="yellow"/>
        </w:rPr>
        <w:t>Total 22 500 € for 2 x 2 days (venue 2 x 1000 €, coffee&amp;snacks 2 x 500, dinner 2 x 1000€, travel for 10 invited stakeholders 2 x 10 x 2000)</w:t>
      </w:r>
    </w:p>
    <w:p w:rsidR="00A66208" w:rsidRDefault="00A66208" w:rsidP="00273B24">
      <w:pPr>
        <w:numPr>
          <w:ilvl w:val="0"/>
          <w:numId w:val="3"/>
        </w:numPr>
      </w:pPr>
      <w:r>
        <w:t>GOHERR www-pages (M2): there is no money allocated for the www-pages, and therefore the easiest and cheapest solution for creating the web-pages must be found out. The possibilities of Opasnet were discussed and Jouni promised to make an example page. Päivi will find out other possibilities. After the suitable site has been decided, each WP leader will write about his/her own WP for the website (and electronic flyers that will be designed together with the www-pages)</w:t>
      </w:r>
      <w:bookmarkStart w:id="0" w:name="_GoBack"/>
      <w:bookmarkEnd w:id="0"/>
      <w:r>
        <w:t>.</w:t>
      </w:r>
    </w:p>
    <w:p w:rsidR="00A66208" w:rsidRDefault="00A66208" w:rsidP="00273B24">
      <w:pPr>
        <w:numPr>
          <w:ilvl w:val="0"/>
          <w:numId w:val="3"/>
        </w:numPr>
      </w:pPr>
      <w:r>
        <w:t xml:space="preserve">LOGO for GOHERR: Alyne Delaney asked some contacts of her for prices of logo designing. Any decisions were not taken. </w:t>
      </w:r>
    </w:p>
    <w:p w:rsidR="00A66208" w:rsidRDefault="00A66208" w:rsidP="00273B24">
      <w:pPr>
        <w:numPr>
          <w:ilvl w:val="0"/>
          <w:numId w:val="3"/>
        </w:numPr>
      </w:pPr>
      <w:r>
        <w:t>Stakeholders (who are they?) were listed in Opasnet. It was also discussed whom should be invited in the Stakeholder workshops. Alyne Delaney will present the project in the Baltic Sea Regional Advisory Council (BSRAC) and invite stakeholders to participate GOHERR project and the stakeholder meetings.</w:t>
      </w:r>
    </w:p>
    <w:p w:rsidR="00A66208" w:rsidRDefault="00A66208" w:rsidP="00273B24">
      <w:pPr>
        <w:numPr>
          <w:ilvl w:val="0"/>
          <w:numId w:val="3"/>
        </w:numPr>
      </w:pPr>
      <w:r>
        <w:t>WP2 interviews: whom to interview? The interviews will be conducted year 2016, and the interviewees and the structure for the interviews will be planned well before that, taking into account information received from other wp:s.</w:t>
      </w:r>
    </w:p>
    <w:p w:rsidR="00A66208" w:rsidRDefault="00A66208" w:rsidP="00273B24">
      <w:pPr>
        <w:numPr>
          <w:ilvl w:val="0"/>
          <w:numId w:val="3"/>
        </w:numPr>
      </w:pPr>
      <w:r>
        <w:t>WP 3, WP5 Questionnaires: Web questionnaires or by post? Will be further discussed.</w:t>
      </w:r>
    </w:p>
    <w:p w:rsidR="00A66208" w:rsidRDefault="00A66208" w:rsidP="00273B24">
      <w:pPr>
        <w:numPr>
          <w:ilvl w:val="0"/>
          <w:numId w:val="3"/>
        </w:numPr>
      </w:pPr>
      <w:r>
        <w:t>WP2 literature reviews: how to frame? Anthropology of food, or a wider perspective?</w:t>
      </w:r>
    </w:p>
    <w:p w:rsidR="00A66208" w:rsidRDefault="00A66208" w:rsidP="000361DF"/>
    <w:p w:rsidR="00A66208" w:rsidRDefault="00A66208" w:rsidP="000361DF">
      <w:r>
        <w:t>Conclusions of the meeting:</w:t>
      </w:r>
    </w:p>
    <w:p w:rsidR="00A66208" w:rsidRDefault="00A66208" w:rsidP="00755A7E">
      <w:r>
        <w:t>Milestone 1: First stakeholder meeting (M10 – February 2016). What must be done before that?</w:t>
      </w:r>
    </w:p>
    <w:p w:rsidR="00A66208" w:rsidRDefault="00A66208" w:rsidP="009A2F69">
      <w:pPr>
        <w:numPr>
          <w:ilvl w:val="0"/>
          <w:numId w:val="4"/>
        </w:numPr>
      </w:pPr>
      <w:r>
        <w:t>WP2.1 Literature reviews (socio-cultural importance and use of Baltic salmon and herring and</w:t>
      </w:r>
      <w:r w:rsidRPr="00413290">
        <w:t xml:space="preserve"> </w:t>
      </w:r>
      <w:r>
        <w:t>multi-level/nested and integrated governance, overall and in the Baltic Sea;  –  should be almost ready (M12)</w:t>
      </w:r>
    </w:p>
    <w:p w:rsidR="00A66208" w:rsidRDefault="00A66208" w:rsidP="009A2F69">
      <w:pPr>
        <w:numPr>
          <w:ilvl w:val="0"/>
          <w:numId w:val="4"/>
        </w:numPr>
      </w:pPr>
      <w:r>
        <w:t>WP3.1 Defining future states and objectives for integrated salmon and herring policy (questionnaire study) – should be almost ready (M12)</w:t>
      </w:r>
    </w:p>
    <w:p w:rsidR="00A66208" w:rsidRDefault="00A66208" w:rsidP="009A2F69">
      <w:pPr>
        <w:numPr>
          <w:ilvl w:val="0"/>
          <w:numId w:val="4"/>
        </w:numPr>
      </w:pPr>
      <w:r>
        <w:t>WP4.1 Deriving size-dependent life history parameters for salmon and herring – should almost ready (M12)</w:t>
      </w:r>
    </w:p>
    <w:p w:rsidR="00A66208" w:rsidRDefault="00A66208" w:rsidP="009A2F69">
      <w:pPr>
        <w:numPr>
          <w:ilvl w:val="0"/>
          <w:numId w:val="4"/>
        </w:numPr>
      </w:pPr>
      <w:r>
        <w:t>WP6.1 Preliminary structure for the integrated decision support model (M10)</w:t>
      </w:r>
    </w:p>
    <w:p w:rsidR="00A66208" w:rsidRDefault="00A66208" w:rsidP="009A2F69">
      <w:pPr>
        <w:numPr>
          <w:ilvl w:val="0"/>
          <w:numId w:val="4"/>
        </w:numPr>
      </w:pPr>
      <w:r>
        <w:t>WP7.1 Electronic flyers and web-pages (M2)</w:t>
      </w:r>
    </w:p>
    <w:p w:rsidR="00A66208" w:rsidRDefault="00A66208" w:rsidP="009A2F69">
      <w:pPr>
        <w:numPr>
          <w:ilvl w:val="0"/>
          <w:numId w:val="4"/>
        </w:numPr>
      </w:pPr>
      <w:r>
        <w:t xml:space="preserve">WP7.2. First version of  stakeholder communications plan: </w:t>
      </w:r>
    </w:p>
    <w:p w:rsidR="00A66208" w:rsidRDefault="00A66208" w:rsidP="00755A7E">
      <w:pPr>
        <w:numPr>
          <w:ilvl w:val="1"/>
          <w:numId w:val="4"/>
        </w:numPr>
      </w:pPr>
      <w:r>
        <w:t>Map stakeholders and inform them about the project (email, BSRAC meeting /Alyne) and invite selected stakeholders to the 1</w:t>
      </w:r>
      <w:r w:rsidRPr="0036614E">
        <w:rPr>
          <w:vertAlign w:val="superscript"/>
        </w:rPr>
        <w:t>st</w:t>
      </w:r>
      <w:r>
        <w:t xml:space="preserve"> Stakeholder workshop.</w:t>
      </w:r>
    </w:p>
    <w:p w:rsidR="00A66208" w:rsidRDefault="00A66208" w:rsidP="00755A7E">
      <w:pPr>
        <w:numPr>
          <w:ilvl w:val="1"/>
          <w:numId w:val="4"/>
        </w:numPr>
      </w:pPr>
      <w:r>
        <w:t>Plan the 1</w:t>
      </w:r>
      <w:r w:rsidRPr="0036614E">
        <w:rPr>
          <w:vertAlign w:val="superscript"/>
        </w:rPr>
        <w:t>st</w:t>
      </w:r>
      <w:r>
        <w:t xml:space="preserve"> Stakeholder workshop (date, venue, topics, agenda, etc).</w:t>
      </w:r>
    </w:p>
    <w:p w:rsidR="00A66208" w:rsidRDefault="00A66208" w:rsidP="00B62B7A">
      <w:pPr>
        <w:numPr>
          <w:ilvl w:val="0"/>
          <w:numId w:val="4"/>
        </w:numPr>
      </w:pPr>
      <w:r>
        <w:t>WP1 Plan second project meeting (to be organized in the same context with the 1</w:t>
      </w:r>
      <w:r w:rsidRPr="00B62B7A">
        <w:rPr>
          <w:vertAlign w:val="superscript"/>
        </w:rPr>
        <w:t>st</w:t>
      </w:r>
      <w:r>
        <w:t xml:space="preserve"> stakeholder meeting). </w:t>
      </w:r>
    </w:p>
    <w:p w:rsidR="00A66208" w:rsidRDefault="00A66208" w:rsidP="000361DF"/>
    <w:p w:rsidR="00A66208" w:rsidRPr="003F1B53" w:rsidRDefault="00A66208" w:rsidP="003F1B53">
      <w:pPr>
        <w:rPr>
          <w:b/>
          <w:bCs/>
          <w:color w:val="000000"/>
          <w:lang w:val="en-GB"/>
        </w:rPr>
      </w:pPr>
      <w:r w:rsidRPr="003F1B53">
        <w:rPr>
          <w:b/>
          <w:bCs/>
          <w:color w:val="000000"/>
          <w:lang w:val="en-GB"/>
        </w:rPr>
        <w:t>Appendix 1</w:t>
      </w:r>
    </w:p>
    <w:p w:rsidR="00A66208" w:rsidRDefault="00A66208" w:rsidP="003F1B53">
      <w:pPr>
        <w:rPr>
          <w:color w:val="000000"/>
          <w:lang w:val="en-GB"/>
        </w:rPr>
      </w:pPr>
    </w:p>
    <w:p w:rsidR="00A66208" w:rsidRPr="009051D7" w:rsidRDefault="00A66208" w:rsidP="003F1B53">
      <w:pPr>
        <w:rPr>
          <w:color w:val="000000"/>
          <w:lang w:val="en-GB"/>
        </w:rPr>
      </w:pPr>
      <w:r>
        <w:rPr>
          <w:color w:val="000000"/>
          <w:lang w:val="en-GB"/>
        </w:rPr>
        <w:t>C</w:t>
      </w:r>
      <w:r w:rsidRPr="009051D7">
        <w:rPr>
          <w:color w:val="000000"/>
          <w:lang w:val="en-GB"/>
        </w:rPr>
        <w:t>hange in ‘Guide for applicants’</w:t>
      </w:r>
      <w:r>
        <w:rPr>
          <w:color w:val="000000"/>
          <w:lang w:val="en-GB"/>
        </w:rPr>
        <w:t xml:space="preserve">, </w:t>
      </w:r>
      <w:r w:rsidRPr="009051D7">
        <w:rPr>
          <w:color w:val="000000"/>
          <w:lang w:val="en-GB"/>
        </w:rPr>
        <w:t>concern</w:t>
      </w:r>
      <w:r>
        <w:rPr>
          <w:color w:val="000000"/>
          <w:lang w:val="en-GB"/>
        </w:rPr>
        <w:t>ing</w:t>
      </w:r>
      <w:r w:rsidRPr="009051D7">
        <w:rPr>
          <w:color w:val="000000"/>
          <w:lang w:val="en-GB"/>
        </w:rPr>
        <w:t xml:space="preserve"> the diss</w:t>
      </w:r>
      <w:r>
        <w:rPr>
          <w:color w:val="000000"/>
          <w:lang w:val="en-GB"/>
        </w:rPr>
        <w:t>emination level of deliverables:</w:t>
      </w:r>
    </w:p>
    <w:p w:rsidR="00A66208" w:rsidRPr="009051D7" w:rsidRDefault="00A66208" w:rsidP="003F1B53">
      <w:pPr>
        <w:rPr>
          <w:color w:val="000000"/>
          <w:lang w:val="en-GB"/>
        </w:rPr>
      </w:pPr>
      <w:r w:rsidRPr="009051D7">
        <w:rPr>
          <w:color w:val="000000"/>
          <w:lang w:val="en-GB"/>
        </w:rPr>
        <w:t> </w:t>
      </w:r>
    </w:p>
    <w:p w:rsidR="00A66208" w:rsidRPr="009051D7" w:rsidRDefault="00A66208" w:rsidP="003F1B53">
      <w:pPr>
        <w:rPr>
          <w:color w:val="000000"/>
          <w:lang w:val="en-GB"/>
        </w:rPr>
      </w:pPr>
      <w:r w:rsidRPr="009051D7">
        <w:rPr>
          <w:color w:val="000000"/>
          <w:lang w:val="en-GB"/>
        </w:rPr>
        <w:t>Current</w:t>
      </w:r>
      <w:r>
        <w:rPr>
          <w:color w:val="000000"/>
          <w:lang w:val="en-GB"/>
        </w:rPr>
        <w:t xml:space="preserve"> </w:t>
      </w:r>
      <w:r w:rsidRPr="009051D7">
        <w:rPr>
          <w:color w:val="000000"/>
          <w:lang w:val="en-GB"/>
        </w:rPr>
        <w:t>dissemination levels of deliverables:</w:t>
      </w:r>
    </w:p>
    <w:p w:rsidR="00A66208" w:rsidRPr="003F1B53" w:rsidRDefault="00A66208" w:rsidP="003F1B53">
      <w:pPr>
        <w:pStyle w:val="NoSpacing"/>
      </w:pPr>
      <w:r w:rsidRPr="003F1B53">
        <w:t>PU – Public;</w:t>
      </w:r>
    </w:p>
    <w:p w:rsidR="00A66208" w:rsidRPr="003F1B53" w:rsidRDefault="00A66208" w:rsidP="003F1B53">
      <w:pPr>
        <w:pStyle w:val="NoSpacing"/>
      </w:pPr>
      <w:r w:rsidRPr="003F1B53">
        <w:t>PP – Restricted to other programme participants (including the BONUS Secretariat)</w:t>
      </w:r>
    </w:p>
    <w:p w:rsidR="00A66208" w:rsidRPr="003F1B53" w:rsidRDefault="00A66208" w:rsidP="003F1B53">
      <w:pPr>
        <w:pStyle w:val="NoSpacing"/>
      </w:pPr>
      <w:r w:rsidRPr="003F1B53">
        <w:t>RE – Restricted to group specified by the consortium (including the BONUS Secretariat)</w:t>
      </w:r>
    </w:p>
    <w:p w:rsidR="00A66208" w:rsidRDefault="00A66208" w:rsidP="003F1B53">
      <w:pPr>
        <w:pStyle w:val="NoSpacing"/>
      </w:pPr>
      <w:r w:rsidRPr="003F1B53">
        <w:t>CO –Confidential, only for members of the consortium (including the BONUS Secretariat).</w:t>
      </w:r>
    </w:p>
    <w:p w:rsidR="00A66208" w:rsidRDefault="00A66208" w:rsidP="003F1B53">
      <w:pPr>
        <w:rPr>
          <w:b/>
          <w:bCs/>
          <w:color w:val="000000"/>
          <w:lang w:val="en-GB"/>
        </w:rPr>
      </w:pPr>
    </w:p>
    <w:p w:rsidR="00A66208" w:rsidRPr="003F1B53" w:rsidRDefault="00A66208" w:rsidP="003F1B53">
      <w:pPr>
        <w:rPr>
          <w:b/>
          <w:bCs/>
          <w:color w:val="000000"/>
          <w:lang w:val="en-GB"/>
        </w:rPr>
      </w:pPr>
      <w:r w:rsidRPr="003F1B53">
        <w:rPr>
          <w:b/>
          <w:bCs/>
          <w:color w:val="000000"/>
          <w:lang w:val="en-GB"/>
        </w:rPr>
        <w:t xml:space="preserve">New, adjusted specifications (due to the funding structure of BONUS projects) </w:t>
      </w:r>
    </w:p>
    <w:p w:rsidR="00A66208" w:rsidRPr="003F1B53" w:rsidRDefault="00A66208" w:rsidP="003F1B53">
      <w:pPr>
        <w:pStyle w:val="NoSpacing"/>
      </w:pPr>
    </w:p>
    <w:p w:rsidR="00A66208" w:rsidRPr="009051D7" w:rsidRDefault="00A66208" w:rsidP="003F1B53">
      <w:pPr>
        <w:rPr>
          <w:color w:val="000000"/>
          <w:lang w:val="en-GB"/>
        </w:rPr>
      </w:pPr>
      <w:r>
        <w:rPr>
          <w:noProof/>
          <w:lang w:val="fi-FI" w:eastAsia="fi-FI"/>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
            <v:textbox style="mso-fit-shape-to-text:t">
              <w:txbxContent>
                <w:p w:rsidR="00A66208" w:rsidRPr="009051D7" w:rsidRDefault="00A66208" w:rsidP="003F1B53">
                  <w:pPr>
                    <w:pStyle w:val="NoSpacing"/>
                    <w:rPr>
                      <w:lang w:val="en-GB"/>
                    </w:rPr>
                  </w:pPr>
                  <w:r w:rsidRPr="009051D7">
                    <w:rPr>
                      <w:lang w:val="en-GB"/>
                    </w:rPr>
                    <w:t>PU – Public;</w:t>
                  </w:r>
                </w:p>
                <w:p w:rsidR="00A66208" w:rsidRPr="009051D7" w:rsidRDefault="00A66208" w:rsidP="003F1B53">
                  <w:pPr>
                    <w:pStyle w:val="NoSpacing"/>
                    <w:rPr>
                      <w:lang w:val="en-GB"/>
                    </w:rPr>
                  </w:pPr>
                  <w:r w:rsidRPr="009051D7">
                    <w:rPr>
                      <w:lang w:val="en-GB"/>
                    </w:rPr>
                    <w:t>PP – Restricted to other programme participants (including the BONUS Secretariat and the persons authorised by the BONUS Secretariat)</w:t>
                  </w:r>
                </w:p>
                <w:p w:rsidR="00A66208" w:rsidRPr="009051D7" w:rsidRDefault="00A66208" w:rsidP="003F1B53">
                  <w:pPr>
                    <w:pStyle w:val="NoSpacing"/>
                    <w:rPr>
                      <w:lang w:val="en-GB"/>
                    </w:rPr>
                  </w:pPr>
                  <w:r w:rsidRPr="009051D7">
                    <w:rPr>
                      <w:lang w:val="en-GB"/>
                    </w:rPr>
                    <w:t>RE – Restricted to group specified by the consortium (including the BONUS Secretariat and the persons authorised by the BONUS Secretariat)</w:t>
                  </w:r>
                </w:p>
                <w:p w:rsidR="00A66208" w:rsidRPr="00F955E4" w:rsidRDefault="00A66208" w:rsidP="00F955E4">
                  <w:pPr>
                    <w:pStyle w:val="NoSpacing"/>
                    <w:rPr>
                      <w:lang w:val="en-GB"/>
                    </w:rPr>
                  </w:pPr>
                  <w:r w:rsidRPr="009051D7">
                    <w:rPr>
                      <w:lang w:val="en-GB"/>
                    </w:rPr>
                    <w:t>CO –Confidential, only for members of the consortium (including the BONUS Secretariat and, by request, the persons authorised by the BONUS Secretariat).</w:t>
                  </w:r>
                </w:p>
              </w:txbxContent>
            </v:textbox>
            <w10:wrap type="square"/>
          </v:shape>
        </w:pict>
      </w:r>
      <w:r w:rsidRPr="009051D7">
        <w:rPr>
          <w:color w:val="000000"/>
          <w:lang w:val="en-GB"/>
        </w:rPr>
        <w:t xml:space="preserve">The adjusted wording allows BONUS to give access to the reports and deliverables to </w:t>
      </w:r>
      <w:r w:rsidRPr="003F1B53">
        <w:rPr>
          <w:b/>
          <w:bCs/>
          <w:color w:val="000000"/>
          <w:lang w:val="en-GB"/>
        </w:rPr>
        <w:t>the national funding organisations</w:t>
      </w:r>
      <w:r w:rsidRPr="009051D7">
        <w:rPr>
          <w:color w:val="000000"/>
          <w:lang w:val="en-GB"/>
        </w:rPr>
        <w:t xml:space="preserve"> as well as to the </w:t>
      </w:r>
      <w:r w:rsidRPr="003F1B53">
        <w:rPr>
          <w:b/>
          <w:bCs/>
          <w:color w:val="000000"/>
          <w:lang w:val="en-GB"/>
        </w:rPr>
        <w:t>auditors and evaluators/reviewers</w:t>
      </w:r>
      <w:r w:rsidRPr="009051D7">
        <w:rPr>
          <w:color w:val="000000"/>
          <w:lang w:val="en-GB"/>
        </w:rPr>
        <w:t xml:space="preserve"> performing interim or final reviews and/or technical audits requested according to the Implementation agreement or by the European Commission. ‘By request’ means that every access granted will be checked separately.</w:t>
      </w:r>
    </w:p>
    <w:p w:rsidR="00A66208" w:rsidRPr="009051D7" w:rsidRDefault="00A66208" w:rsidP="003F1B53">
      <w:pPr>
        <w:rPr>
          <w:color w:val="000000"/>
          <w:lang w:val="en-GB"/>
        </w:rPr>
      </w:pPr>
      <w:r w:rsidRPr="009051D7">
        <w:rPr>
          <w:color w:val="000000"/>
          <w:lang w:val="en-GB"/>
        </w:rPr>
        <w:t> </w:t>
      </w:r>
    </w:p>
    <w:p w:rsidR="00A66208" w:rsidRPr="009051D7" w:rsidRDefault="00A66208" w:rsidP="003F1B53">
      <w:pPr>
        <w:rPr>
          <w:color w:val="000000"/>
          <w:lang w:val="en-GB"/>
        </w:rPr>
      </w:pPr>
      <w:r>
        <w:rPr>
          <w:color w:val="000000"/>
          <w:lang w:val="en-GB"/>
        </w:rPr>
        <w:t xml:space="preserve">The </w:t>
      </w:r>
      <w:r w:rsidRPr="009051D7">
        <w:rPr>
          <w:color w:val="000000"/>
          <w:lang w:val="en-GB"/>
        </w:rPr>
        <w:t xml:space="preserve">compulsory dissemination </w:t>
      </w:r>
      <w:r>
        <w:rPr>
          <w:color w:val="000000"/>
          <w:lang w:val="en-GB"/>
        </w:rPr>
        <w:t>l</w:t>
      </w:r>
      <w:r w:rsidRPr="009051D7">
        <w:rPr>
          <w:color w:val="000000"/>
          <w:lang w:val="en-GB"/>
        </w:rPr>
        <w:t xml:space="preserve">evel for </w:t>
      </w:r>
      <w:r w:rsidRPr="005F5E16">
        <w:rPr>
          <w:b/>
          <w:bCs/>
          <w:color w:val="000000"/>
          <w:lang w:val="en-GB"/>
        </w:rPr>
        <w:t>periodic and final reports</w:t>
      </w:r>
      <w:r w:rsidRPr="009051D7">
        <w:rPr>
          <w:color w:val="000000"/>
          <w:lang w:val="en-GB"/>
        </w:rPr>
        <w:t xml:space="preserve"> is proposed to be changed</w:t>
      </w:r>
      <w:r>
        <w:rPr>
          <w:color w:val="000000"/>
          <w:lang w:val="en-GB"/>
        </w:rPr>
        <w:t xml:space="preserve"> f</w:t>
      </w:r>
      <w:r w:rsidRPr="009051D7">
        <w:rPr>
          <w:color w:val="000000"/>
          <w:lang w:val="en-GB"/>
        </w:rPr>
        <w:t xml:space="preserve">rom at least </w:t>
      </w:r>
      <w:r w:rsidRPr="005F5E16">
        <w:rPr>
          <w:b/>
          <w:bCs/>
          <w:lang w:val="en-GB"/>
        </w:rPr>
        <w:t>RE (or PP or PU)</w:t>
      </w:r>
      <w:r w:rsidRPr="009051D7">
        <w:rPr>
          <w:color w:val="000000"/>
          <w:lang w:val="en-GB"/>
        </w:rPr>
        <w:t xml:space="preserve"> but not CO.</w:t>
      </w:r>
    </w:p>
    <w:p w:rsidR="00A66208" w:rsidRPr="003F1B53" w:rsidRDefault="00A66208" w:rsidP="000361DF">
      <w:pPr>
        <w:rPr>
          <w:lang w:val="en-GB"/>
        </w:rPr>
      </w:pPr>
    </w:p>
    <w:p w:rsidR="00A66208" w:rsidRPr="00217DF9" w:rsidRDefault="00A66208"/>
    <w:sectPr w:rsidR="00A66208" w:rsidRPr="00217DF9" w:rsidSect="002A74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7021E2"/>
    <w:lvl w:ilvl="0">
      <w:start w:val="1"/>
      <w:numFmt w:val="decimal"/>
      <w:lvlText w:val="%1."/>
      <w:lvlJc w:val="left"/>
      <w:pPr>
        <w:tabs>
          <w:tab w:val="num" w:pos="1492"/>
        </w:tabs>
        <w:ind w:left="1492" w:hanging="360"/>
      </w:pPr>
    </w:lvl>
  </w:abstractNum>
  <w:abstractNum w:abstractNumId="1">
    <w:nsid w:val="FFFFFF7D"/>
    <w:multiLevelType w:val="singleLevel"/>
    <w:tmpl w:val="FC40EDDA"/>
    <w:lvl w:ilvl="0">
      <w:start w:val="1"/>
      <w:numFmt w:val="decimal"/>
      <w:lvlText w:val="%1."/>
      <w:lvlJc w:val="left"/>
      <w:pPr>
        <w:tabs>
          <w:tab w:val="num" w:pos="1209"/>
        </w:tabs>
        <w:ind w:left="1209" w:hanging="360"/>
      </w:pPr>
    </w:lvl>
  </w:abstractNum>
  <w:abstractNum w:abstractNumId="2">
    <w:nsid w:val="FFFFFF7E"/>
    <w:multiLevelType w:val="singleLevel"/>
    <w:tmpl w:val="E822F762"/>
    <w:lvl w:ilvl="0">
      <w:start w:val="1"/>
      <w:numFmt w:val="decimal"/>
      <w:lvlText w:val="%1."/>
      <w:lvlJc w:val="left"/>
      <w:pPr>
        <w:tabs>
          <w:tab w:val="num" w:pos="926"/>
        </w:tabs>
        <w:ind w:left="926" w:hanging="360"/>
      </w:pPr>
    </w:lvl>
  </w:abstractNum>
  <w:abstractNum w:abstractNumId="3">
    <w:nsid w:val="FFFFFF7F"/>
    <w:multiLevelType w:val="singleLevel"/>
    <w:tmpl w:val="9E548B6A"/>
    <w:lvl w:ilvl="0">
      <w:start w:val="1"/>
      <w:numFmt w:val="decimal"/>
      <w:lvlText w:val="%1."/>
      <w:lvlJc w:val="left"/>
      <w:pPr>
        <w:tabs>
          <w:tab w:val="num" w:pos="643"/>
        </w:tabs>
        <w:ind w:left="643" w:hanging="360"/>
      </w:pPr>
    </w:lvl>
  </w:abstractNum>
  <w:abstractNum w:abstractNumId="4">
    <w:nsid w:val="FFFFFF80"/>
    <w:multiLevelType w:val="singleLevel"/>
    <w:tmpl w:val="AD9E2FF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D66183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8E4FFA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DBC1C4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DB05078"/>
    <w:lvl w:ilvl="0">
      <w:start w:val="1"/>
      <w:numFmt w:val="decimal"/>
      <w:lvlText w:val="%1."/>
      <w:lvlJc w:val="left"/>
      <w:pPr>
        <w:tabs>
          <w:tab w:val="num" w:pos="360"/>
        </w:tabs>
        <w:ind w:left="360" w:hanging="360"/>
      </w:pPr>
    </w:lvl>
  </w:abstractNum>
  <w:abstractNum w:abstractNumId="9">
    <w:nsid w:val="FFFFFF89"/>
    <w:multiLevelType w:val="singleLevel"/>
    <w:tmpl w:val="A50EA3F2"/>
    <w:lvl w:ilvl="0">
      <w:start w:val="1"/>
      <w:numFmt w:val="bullet"/>
      <w:lvlText w:val=""/>
      <w:lvlJc w:val="left"/>
      <w:pPr>
        <w:tabs>
          <w:tab w:val="num" w:pos="360"/>
        </w:tabs>
        <w:ind w:left="360" w:hanging="360"/>
      </w:pPr>
      <w:rPr>
        <w:rFonts w:ascii="Symbol" w:hAnsi="Symbol" w:cs="Symbol" w:hint="default"/>
      </w:rPr>
    </w:lvl>
  </w:abstractNum>
  <w:abstractNum w:abstractNumId="10">
    <w:nsid w:val="19614A9C"/>
    <w:multiLevelType w:val="hybridMultilevel"/>
    <w:tmpl w:val="314A4228"/>
    <w:lvl w:ilvl="0" w:tplc="040B0001">
      <w:start w:val="1"/>
      <w:numFmt w:val="bullet"/>
      <w:lvlText w:val=""/>
      <w:lvlJc w:val="left"/>
      <w:pPr>
        <w:tabs>
          <w:tab w:val="num" w:pos="720"/>
        </w:tabs>
        <w:ind w:left="720" w:hanging="360"/>
      </w:pPr>
      <w:rPr>
        <w:rFonts w:ascii="Symbol" w:hAnsi="Symbol" w:cs="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cs="Wingdings" w:hint="default"/>
      </w:rPr>
    </w:lvl>
    <w:lvl w:ilvl="3" w:tplc="040B0001" w:tentative="1">
      <w:start w:val="1"/>
      <w:numFmt w:val="bullet"/>
      <w:lvlText w:val=""/>
      <w:lvlJc w:val="left"/>
      <w:pPr>
        <w:tabs>
          <w:tab w:val="num" w:pos="2880"/>
        </w:tabs>
        <w:ind w:left="2880" w:hanging="360"/>
      </w:pPr>
      <w:rPr>
        <w:rFonts w:ascii="Symbol" w:hAnsi="Symbol" w:cs="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cs="Wingdings" w:hint="default"/>
      </w:rPr>
    </w:lvl>
    <w:lvl w:ilvl="6" w:tplc="040B0001" w:tentative="1">
      <w:start w:val="1"/>
      <w:numFmt w:val="bullet"/>
      <w:lvlText w:val=""/>
      <w:lvlJc w:val="left"/>
      <w:pPr>
        <w:tabs>
          <w:tab w:val="num" w:pos="5040"/>
        </w:tabs>
        <w:ind w:left="5040" w:hanging="360"/>
      </w:pPr>
      <w:rPr>
        <w:rFonts w:ascii="Symbol" w:hAnsi="Symbol" w:cs="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51B024CE"/>
    <w:multiLevelType w:val="hybridMultilevel"/>
    <w:tmpl w:val="5E64B5E0"/>
    <w:lvl w:ilvl="0" w:tplc="040B0001">
      <w:start w:val="1"/>
      <w:numFmt w:val="bullet"/>
      <w:lvlText w:val=""/>
      <w:lvlJc w:val="left"/>
      <w:pPr>
        <w:tabs>
          <w:tab w:val="num" w:pos="720"/>
        </w:tabs>
        <w:ind w:left="720" w:hanging="360"/>
      </w:pPr>
      <w:rPr>
        <w:rFonts w:ascii="Symbol" w:hAnsi="Symbol" w:cs="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cs="Wingdings" w:hint="default"/>
      </w:rPr>
    </w:lvl>
    <w:lvl w:ilvl="3" w:tplc="040B0001" w:tentative="1">
      <w:start w:val="1"/>
      <w:numFmt w:val="bullet"/>
      <w:lvlText w:val=""/>
      <w:lvlJc w:val="left"/>
      <w:pPr>
        <w:tabs>
          <w:tab w:val="num" w:pos="2880"/>
        </w:tabs>
        <w:ind w:left="2880" w:hanging="360"/>
      </w:pPr>
      <w:rPr>
        <w:rFonts w:ascii="Symbol" w:hAnsi="Symbol" w:cs="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cs="Wingdings" w:hint="default"/>
      </w:rPr>
    </w:lvl>
    <w:lvl w:ilvl="6" w:tplc="040B0001" w:tentative="1">
      <w:start w:val="1"/>
      <w:numFmt w:val="bullet"/>
      <w:lvlText w:val=""/>
      <w:lvlJc w:val="left"/>
      <w:pPr>
        <w:tabs>
          <w:tab w:val="num" w:pos="5040"/>
        </w:tabs>
        <w:ind w:left="5040" w:hanging="360"/>
      </w:pPr>
      <w:rPr>
        <w:rFonts w:ascii="Symbol" w:hAnsi="Symbol" w:cs="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55864FCA"/>
    <w:multiLevelType w:val="hybridMultilevel"/>
    <w:tmpl w:val="86F01B4A"/>
    <w:lvl w:ilvl="0" w:tplc="040B0001">
      <w:start w:val="1"/>
      <w:numFmt w:val="bullet"/>
      <w:lvlText w:val=""/>
      <w:lvlJc w:val="left"/>
      <w:pPr>
        <w:ind w:left="360" w:hanging="360"/>
      </w:pPr>
      <w:rPr>
        <w:rFonts w:ascii="Symbol" w:hAnsi="Symbol" w:cs="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cs="Wingdings" w:hint="default"/>
      </w:rPr>
    </w:lvl>
    <w:lvl w:ilvl="3" w:tplc="040B0001" w:tentative="1">
      <w:start w:val="1"/>
      <w:numFmt w:val="bullet"/>
      <w:lvlText w:val=""/>
      <w:lvlJc w:val="left"/>
      <w:pPr>
        <w:ind w:left="2520" w:hanging="360"/>
      </w:pPr>
      <w:rPr>
        <w:rFonts w:ascii="Symbol" w:hAnsi="Symbol" w:cs="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cs="Wingdings" w:hint="default"/>
      </w:rPr>
    </w:lvl>
    <w:lvl w:ilvl="6" w:tplc="040B0001" w:tentative="1">
      <w:start w:val="1"/>
      <w:numFmt w:val="bullet"/>
      <w:lvlText w:val=""/>
      <w:lvlJc w:val="left"/>
      <w:pPr>
        <w:ind w:left="4680" w:hanging="360"/>
      </w:pPr>
      <w:rPr>
        <w:rFonts w:ascii="Symbol" w:hAnsi="Symbol" w:cs="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cs="Wingdings" w:hint="default"/>
      </w:rPr>
    </w:lvl>
  </w:abstractNum>
  <w:abstractNum w:abstractNumId="13">
    <w:nsid w:val="5BD846E2"/>
    <w:multiLevelType w:val="hybridMultilevel"/>
    <w:tmpl w:val="2E1AEE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6DBE5260"/>
    <w:multiLevelType w:val="hybridMultilevel"/>
    <w:tmpl w:val="DACE8BCE"/>
    <w:lvl w:ilvl="0" w:tplc="040B0001">
      <w:start w:val="1"/>
      <w:numFmt w:val="bullet"/>
      <w:lvlText w:val=""/>
      <w:lvlJc w:val="left"/>
      <w:pPr>
        <w:tabs>
          <w:tab w:val="num" w:pos="720"/>
        </w:tabs>
        <w:ind w:left="720" w:hanging="360"/>
      </w:pPr>
      <w:rPr>
        <w:rFonts w:ascii="Symbol" w:hAnsi="Symbol" w:cs="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cs="Wingdings" w:hint="default"/>
      </w:rPr>
    </w:lvl>
    <w:lvl w:ilvl="3" w:tplc="040B0001" w:tentative="1">
      <w:start w:val="1"/>
      <w:numFmt w:val="bullet"/>
      <w:lvlText w:val=""/>
      <w:lvlJc w:val="left"/>
      <w:pPr>
        <w:tabs>
          <w:tab w:val="num" w:pos="2880"/>
        </w:tabs>
        <w:ind w:left="2880" w:hanging="360"/>
      </w:pPr>
      <w:rPr>
        <w:rFonts w:ascii="Symbol" w:hAnsi="Symbol" w:cs="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cs="Wingdings" w:hint="default"/>
      </w:rPr>
    </w:lvl>
    <w:lvl w:ilvl="6" w:tplc="040B0001" w:tentative="1">
      <w:start w:val="1"/>
      <w:numFmt w:val="bullet"/>
      <w:lvlText w:val=""/>
      <w:lvlJc w:val="left"/>
      <w:pPr>
        <w:tabs>
          <w:tab w:val="num" w:pos="5040"/>
        </w:tabs>
        <w:ind w:left="5040" w:hanging="360"/>
      </w:pPr>
      <w:rPr>
        <w:rFonts w:ascii="Symbol" w:hAnsi="Symbol" w:cs="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3"/>
  </w:num>
  <w:num w:numId="3">
    <w:abstractNumId w:val="14"/>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DF9"/>
    <w:rsid w:val="00003C97"/>
    <w:rsid w:val="00013D69"/>
    <w:rsid w:val="000352D2"/>
    <w:rsid w:val="000361DF"/>
    <w:rsid w:val="000411C9"/>
    <w:rsid w:val="00044DA6"/>
    <w:rsid w:val="000454D0"/>
    <w:rsid w:val="0004661A"/>
    <w:rsid w:val="000466B1"/>
    <w:rsid w:val="0005329F"/>
    <w:rsid w:val="00055310"/>
    <w:rsid w:val="0006097F"/>
    <w:rsid w:val="00062D5C"/>
    <w:rsid w:val="00074C28"/>
    <w:rsid w:val="000868EB"/>
    <w:rsid w:val="000972B9"/>
    <w:rsid w:val="00097B1C"/>
    <w:rsid w:val="000A0A39"/>
    <w:rsid w:val="000A2FB4"/>
    <w:rsid w:val="000A36A8"/>
    <w:rsid w:val="000A5301"/>
    <w:rsid w:val="000B7F9B"/>
    <w:rsid w:val="000C2B1B"/>
    <w:rsid w:val="000C4279"/>
    <w:rsid w:val="000D29BA"/>
    <w:rsid w:val="000D4893"/>
    <w:rsid w:val="000D6ACE"/>
    <w:rsid w:val="000E10DA"/>
    <w:rsid w:val="000E138F"/>
    <w:rsid w:val="000F243A"/>
    <w:rsid w:val="000F75B4"/>
    <w:rsid w:val="0010027E"/>
    <w:rsid w:val="00107B26"/>
    <w:rsid w:val="001104C7"/>
    <w:rsid w:val="00120624"/>
    <w:rsid w:val="001317F6"/>
    <w:rsid w:val="00140A18"/>
    <w:rsid w:val="00143D9F"/>
    <w:rsid w:val="00155388"/>
    <w:rsid w:val="00162AD6"/>
    <w:rsid w:val="00162B77"/>
    <w:rsid w:val="0017522B"/>
    <w:rsid w:val="0017614B"/>
    <w:rsid w:val="00176CE0"/>
    <w:rsid w:val="00181E5A"/>
    <w:rsid w:val="00194BC2"/>
    <w:rsid w:val="001B0F48"/>
    <w:rsid w:val="001B2411"/>
    <w:rsid w:val="001B5F4B"/>
    <w:rsid w:val="001E2310"/>
    <w:rsid w:val="001E3216"/>
    <w:rsid w:val="002102FC"/>
    <w:rsid w:val="0021138C"/>
    <w:rsid w:val="00211626"/>
    <w:rsid w:val="00212CBE"/>
    <w:rsid w:val="00217DF9"/>
    <w:rsid w:val="00223B86"/>
    <w:rsid w:val="0022672E"/>
    <w:rsid w:val="002328BB"/>
    <w:rsid w:val="00247416"/>
    <w:rsid w:val="002600F9"/>
    <w:rsid w:val="00264BE0"/>
    <w:rsid w:val="00273B24"/>
    <w:rsid w:val="002826F9"/>
    <w:rsid w:val="0028715F"/>
    <w:rsid w:val="00287E1C"/>
    <w:rsid w:val="00292F91"/>
    <w:rsid w:val="00293F58"/>
    <w:rsid w:val="002952BC"/>
    <w:rsid w:val="002A4DA9"/>
    <w:rsid w:val="002A74D7"/>
    <w:rsid w:val="002A7663"/>
    <w:rsid w:val="002B263C"/>
    <w:rsid w:val="002B3FCC"/>
    <w:rsid w:val="002C7AE8"/>
    <w:rsid w:val="002D301A"/>
    <w:rsid w:val="002D576C"/>
    <w:rsid w:val="002D74F9"/>
    <w:rsid w:val="002D7569"/>
    <w:rsid w:val="002F6608"/>
    <w:rsid w:val="00305070"/>
    <w:rsid w:val="0031347F"/>
    <w:rsid w:val="00316580"/>
    <w:rsid w:val="00322B53"/>
    <w:rsid w:val="003235D0"/>
    <w:rsid w:val="003254FD"/>
    <w:rsid w:val="003307F4"/>
    <w:rsid w:val="003329D9"/>
    <w:rsid w:val="0033756E"/>
    <w:rsid w:val="00337846"/>
    <w:rsid w:val="00341B19"/>
    <w:rsid w:val="0034435E"/>
    <w:rsid w:val="003465CF"/>
    <w:rsid w:val="0035098C"/>
    <w:rsid w:val="00351E8A"/>
    <w:rsid w:val="0036614E"/>
    <w:rsid w:val="003678D3"/>
    <w:rsid w:val="00373E48"/>
    <w:rsid w:val="003A07D9"/>
    <w:rsid w:val="003A6E23"/>
    <w:rsid w:val="003B79F3"/>
    <w:rsid w:val="003C4881"/>
    <w:rsid w:val="003D7FF9"/>
    <w:rsid w:val="003E27E8"/>
    <w:rsid w:val="003E5D01"/>
    <w:rsid w:val="003F1B53"/>
    <w:rsid w:val="004053D1"/>
    <w:rsid w:val="00412563"/>
    <w:rsid w:val="00413290"/>
    <w:rsid w:val="00413847"/>
    <w:rsid w:val="00431BF7"/>
    <w:rsid w:val="00434AB4"/>
    <w:rsid w:val="004560C1"/>
    <w:rsid w:val="004745BB"/>
    <w:rsid w:val="0047673C"/>
    <w:rsid w:val="0047709D"/>
    <w:rsid w:val="00495C57"/>
    <w:rsid w:val="004A06D4"/>
    <w:rsid w:val="004A49A9"/>
    <w:rsid w:val="004A4A51"/>
    <w:rsid w:val="004B259C"/>
    <w:rsid w:val="004B619C"/>
    <w:rsid w:val="004B6E1B"/>
    <w:rsid w:val="004C7FA9"/>
    <w:rsid w:val="004D3A3A"/>
    <w:rsid w:val="004D4E2B"/>
    <w:rsid w:val="004D662F"/>
    <w:rsid w:val="004D6F87"/>
    <w:rsid w:val="004E04E3"/>
    <w:rsid w:val="004E1AEF"/>
    <w:rsid w:val="004E21C3"/>
    <w:rsid w:val="004E2FF8"/>
    <w:rsid w:val="004E4D03"/>
    <w:rsid w:val="004F1275"/>
    <w:rsid w:val="004F3765"/>
    <w:rsid w:val="004F684A"/>
    <w:rsid w:val="00505D9A"/>
    <w:rsid w:val="00507BE7"/>
    <w:rsid w:val="00507DA5"/>
    <w:rsid w:val="00511734"/>
    <w:rsid w:val="00514FC8"/>
    <w:rsid w:val="0053144C"/>
    <w:rsid w:val="00536484"/>
    <w:rsid w:val="00540F28"/>
    <w:rsid w:val="00541AB6"/>
    <w:rsid w:val="00542DA6"/>
    <w:rsid w:val="00561B13"/>
    <w:rsid w:val="00567418"/>
    <w:rsid w:val="00584DFF"/>
    <w:rsid w:val="00592D99"/>
    <w:rsid w:val="00597405"/>
    <w:rsid w:val="005A3BBD"/>
    <w:rsid w:val="005B2E1F"/>
    <w:rsid w:val="005C5D40"/>
    <w:rsid w:val="005D1293"/>
    <w:rsid w:val="005D79E2"/>
    <w:rsid w:val="005E6D68"/>
    <w:rsid w:val="005E7DB8"/>
    <w:rsid w:val="005F0F86"/>
    <w:rsid w:val="005F1B2A"/>
    <w:rsid w:val="005F3D0B"/>
    <w:rsid w:val="005F4957"/>
    <w:rsid w:val="005F5E16"/>
    <w:rsid w:val="005F7658"/>
    <w:rsid w:val="0060039D"/>
    <w:rsid w:val="006013B4"/>
    <w:rsid w:val="00613FCD"/>
    <w:rsid w:val="00615AE1"/>
    <w:rsid w:val="00620CBD"/>
    <w:rsid w:val="00626210"/>
    <w:rsid w:val="006265C0"/>
    <w:rsid w:val="00630546"/>
    <w:rsid w:val="0063268C"/>
    <w:rsid w:val="00633657"/>
    <w:rsid w:val="00637268"/>
    <w:rsid w:val="00640B02"/>
    <w:rsid w:val="00641C76"/>
    <w:rsid w:val="006479EF"/>
    <w:rsid w:val="00653DFA"/>
    <w:rsid w:val="0065564A"/>
    <w:rsid w:val="00656486"/>
    <w:rsid w:val="00663F00"/>
    <w:rsid w:val="00675B3C"/>
    <w:rsid w:val="0067701B"/>
    <w:rsid w:val="006844CB"/>
    <w:rsid w:val="00690A9F"/>
    <w:rsid w:val="00697887"/>
    <w:rsid w:val="006B696E"/>
    <w:rsid w:val="006B721F"/>
    <w:rsid w:val="006D0DC8"/>
    <w:rsid w:val="006E0388"/>
    <w:rsid w:val="006E220B"/>
    <w:rsid w:val="006E28BD"/>
    <w:rsid w:val="006F417D"/>
    <w:rsid w:val="006F5E44"/>
    <w:rsid w:val="00702608"/>
    <w:rsid w:val="0071340A"/>
    <w:rsid w:val="0071377A"/>
    <w:rsid w:val="00714850"/>
    <w:rsid w:val="00714EC0"/>
    <w:rsid w:val="00716362"/>
    <w:rsid w:val="007206D3"/>
    <w:rsid w:val="00722F10"/>
    <w:rsid w:val="00732A70"/>
    <w:rsid w:val="00733B85"/>
    <w:rsid w:val="007362E1"/>
    <w:rsid w:val="00755A7E"/>
    <w:rsid w:val="007653C3"/>
    <w:rsid w:val="00770B8F"/>
    <w:rsid w:val="007716B3"/>
    <w:rsid w:val="007725FC"/>
    <w:rsid w:val="00772D77"/>
    <w:rsid w:val="00774475"/>
    <w:rsid w:val="00774C82"/>
    <w:rsid w:val="00777C45"/>
    <w:rsid w:val="00785B99"/>
    <w:rsid w:val="00795B1F"/>
    <w:rsid w:val="0079683F"/>
    <w:rsid w:val="007A0518"/>
    <w:rsid w:val="007A105B"/>
    <w:rsid w:val="007A6069"/>
    <w:rsid w:val="007B66F0"/>
    <w:rsid w:val="007D3BA6"/>
    <w:rsid w:val="007D5747"/>
    <w:rsid w:val="007F3584"/>
    <w:rsid w:val="007F5DCA"/>
    <w:rsid w:val="008000CC"/>
    <w:rsid w:val="00805789"/>
    <w:rsid w:val="00810353"/>
    <w:rsid w:val="0081076B"/>
    <w:rsid w:val="00816713"/>
    <w:rsid w:val="00821D44"/>
    <w:rsid w:val="00826802"/>
    <w:rsid w:val="0083196F"/>
    <w:rsid w:val="00832C26"/>
    <w:rsid w:val="00837B3E"/>
    <w:rsid w:val="00842074"/>
    <w:rsid w:val="00842B38"/>
    <w:rsid w:val="0084494B"/>
    <w:rsid w:val="008454E2"/>
    <w:rsid w:val="0085440A"/>
    <w:rsid w:val="00862FEA"/>
    <w:rsid w:val="0086552F"/>
    <w:rsid w:val="0086584F"/>
    <w:rsid w:val="00873333"/>
    <w:rsid w:val="00876692"/>
    <w:rsid w:val="00891EA0"/>
    <w:rsid w:val="0089686E"/>
    <w:rsid w:val="008A067D"/>
    <w:rsid w:val="008B2CA8"/>
    <w:rsid w:val="008B5D1D"/>
    <w:rsid w:val="008C0645"/>
    <w:rsid w:val="008C5B25"/>
    <w:rsid w:val="008C661A"/>
    <w:rsid w:val="008D0375"/>
    <w:rsid w:val="008D1360"/>
    <w:rsid w:val="008D448B"/>
    <w:rsid w:val="008E1DEA"/>
    <w:rsid w:val="008E2328"/>
    <w:rsid w:val="008E4CC9"/>
    <w:rsid w:val="008E4E90"/>
    <w:rsid w:val="008E7349"/>
    <w:rsid w:val="008F1D87"/>
    <w:rsid w:val="008F208A"/>
    <w:rsid w:val="008F46D3"/>
    <w:rsid w:val="008F51A0"/>
    <w:rsid w:val="00901A25"/>
    <w:rsid w:val="009051D7"/>
    <w:rsid w:val="009067BB"/>
    <w:rsid w:val="009149D9"/>
    <w:rsid w:val="00916825"/>
    <w:rsid w:val="00920FF5"/>
    <w:rsid w:val="0092149C"/>
    <w:rsid w:val="009445AC"/>
    <w:rsid w:val="00947F6E"/>
    <w:rsid w:val="00951254"/>
    <w:rsid w:val="00963134"/>
    <w:rsid w:val="0096351A"/>
    <w:rsid w:val="00966732"/>
    <w:rsid w:val="00967BAE"/>
    <w:rsid w:val="009815D7"/>
    <w:rsid w:val="00982845"/>
    <w:rsid w:val="00982FBD"/>
    <w:rsid w:val="00990E7A"/>
    <w:rsid w:val="0099603B"/>
    <w:rsid w:val="009961D5"/>
    <w:rsid w:val="009A2F69"/>
    <w:rsid w:val="009A51B3"/>
    <w:rsid w:val="009A7357"/>
    <w:rsid w:val="009A7F81"/>
    <w:rsid w:val="009C16C4"/>
    <w:rsid w:val="009C1F0C"/>
    <w:rsid w:val="009C2D55"/>
    <w:rsid w:val="009C5A2D"/>
    <w:rsid w:val="009C717D"/>
    <w:rsid w:val="009D3B04"/>
    <w:rsid w:val="009E26EB"/>
    <w:rsid w:val="009E5F1D"/>
    <w:rsid w:val="009E6F4C"/>
    <w:rsid w:val="009F2AEB"/>
    <w:rsid w:val="00A059A7"/>
    <w:rsid w:val="00A10A01"/>
    <w:rsid w:val="00A113D0"/>
    <w:rsid w:val="00A119C3"/>
    <w:rsid w:val="00A1589E"/>
    <w:rsid w:val="00A32B44"/>
    <w:rsid w:val="00A37082"/>
    <w:rsid w:val="00A4091F"/>
    <w:rsid w:val="00A4132B"/>
    <w:rsid w:val="00A45333"/>
    <w:rsid w:val="00A60004"/>
    <w:rsid w:val="00A647B7"/>
    <w:rsid w:val="00A65567"/>
    <w:rsid w:val="00A66208"/>
    <w:rsid w:val="00A74809"/>
    <w:rsid w:val="00A8038A"/>
    <w:rsid w:val="00A907BC"/>
    <w:rsid w:val="00A9565E"/>
    <w:rsid w:val="00AA797C"/>
    <w:rsid w:val="00AB175E"/>
    <w:rsid w:val="00AC10C7"/>
    <w:rsid w:val="00AD0690"/>
    <w:rsid w:val="00AE0392"/>
    <w:rsid w:val="00AF4574"/>
    <w:rsid w:val="00B036BA"/>
    <w:rsid w:val="00B068ED"/>
    <w:rsid w:val="00B14C23"/>
    <w:rsid w:val="00B358F9"/>
    <w:rsid w:val="00B36F21"/>
    <w:rsid w:val="00B379B1"/>
    <w:rsid w:val="00B46A2C"/>
    <w:rsid w:val="00B527B0"/>
    <w:rsid w:val="00B562CA"/>
    <w:rsid w:val="00B62B7A"/>
    <w:rsid w:val="00B74C6A"/>
    <w:rsid w:val="00B751B5"/>
    <w:rsid w:val="00B82161"/>
    <w:rsid w:val="00B92545"/>
    <w:rsid w:val="00B94D6E"/>
    <w:rsid w:val="00BB276E"/>
    <w:rsid w:val="00BB4B9B"/>
    <w:rsid w:val="00BB4F4F"/>
    <w:rsid w:val="00BC097B"/>
    <w:rsid w:val="00BD03CC"/>
    <w:rsid w:val="00BE5F90"/>
    <w:rsid w:val="00C03079"/>
    <w:rsid w:val="00C03356"/>
    <w:rsid w:val="00C11CBE"/>
    <w:rsid w:val="00C16CAF"/>
    <w:rsid w:val="00C330AC"/>
    <w:rsid w:val="00C33396"/>
    <w:rsid w:val="00C512E3"/>
    <w:rsid w:val="00C525C7"/>
    <w:rsid w:val="00C5265C"/>
    <w:rsid w:val="00C53497"/>
    <w:rsid w:val="00C665C6"/>
    <w:rsid w:val="00C70590"/>
    <w:rsid w:val="00C72A8B"/>
    <w:rsid w:val="00C842D4"/>
    <w:rsid w:val="00C92471"/>
    <w:rsid w:val="00C9429C"/>
    <w:rsid w:val="00C944E5"/>
    <w:rsid w:val="00C95D84"/>
    <w:rsid w:val="00C96E9D"/>
    <w:rsid w:val="00CA0EFD"/>
    <w:rsid w:val="00CA6D90"/>
    <w:rsid w:val="00CA7097"/>
    <w:rsid w:val="00CA70DC"/>
    <w:rsid w:val="00CA76FE"/>
    <w:rsid w:val="00CB31C6"/>
    <w:rsid w:val="00CB6A02"/>
    <w:rsid w:val="00CC1C52"/>
    <w:rsid w:val="00CC30EC"/>
    <w:rsid w:val="00CC3B1E"/>
    <w:rsid w:val="00CC45F3"/>
    <w:rsid w:val="00CD3F90"/>
    <w:rsid w:val="00CD79D5"/>
    <w:rsid w:val="00CE0929"/>
    <w:rsid w:val="00CE4B6A"/>
    <w:rsid w:val="00CF6B7B"/>
    <w:rsid w:val="00CF6FF0"/>
    <w:rsid w:val="00CF7DE8"/>
    <w:rsid w:val="00D009E8"/>
    <w:rsid w:val="00D046C3"/>
    <w:rsid w:val="00D0713F"/>
    <w:rsid w:val="00D10227"/>
    <w:rsid w:val="00D11DC2"/>
    <w:rsid w:val="00D1289F"/>
    <w:rsid w:val="00D13FF9"/>
    <w:rsid w:val="00D1406D"/>
    <w:rsid w:val="00D20C14"/>
    <w:rsid w:val="00D21625"/>
    <w:rsid w:val="00D229F9"/>
    <w:rsid w:val="00D23FB8"/>
    <w:rsid w:val="00D2740B"/>
    <w:rsid w:val="00D27F0A"/>
    <w:rsid w:val="00D416B9"/>
    <w:rsid w:val="00D441FF"/>
    <w:rsid w:val="00D460E6"/>
    <w:rsid w:val="00D635C5"/>
    <w:rsid w:val="00D640BF"/>
    <w:rsid w:val="00D75653"/>
    <w:rsid w:val="00D8055A"/>
    <w:rsid w:val="00D9194E"/>
    <w:rsid w:val="00D91B7F"/>
    <w:rsid w:val="00DA2802"/>
    <w:rsid w:val="00DA396B"/>
    <w:rsid w:val="00DC6841"/>
    <w:rsid w:val="00DE255A"/>
    <w:rsid w:val="00DE4FD6"/>
    <w:rsid w:val="00E0246E"/>
    <w:rsid w:val="00E035CB"/>
    <w:rsid w:val="00E07AA1"/>
    <w:rsid w:val="00E07F03"/>
    <w:rsid w:val="00E173B5"/>
    <w:rsid w:val="00E1762D"/>
    <w:rsid w:val="00E26EB9"/>
    <w:rsid w:val="00E33B61"/>
    <w:rsid w:val="00E43B81"/>
    <w:rsid w:val="00E52A53"/>
    <w:rsid w:val="00E53B3C"/>
    <w:rsid w:val="00E54C6D"/>
    <w:rsid w:val="00E64039"/>
    <w:rsid w:val="00E66C56"/>
    <w:rsid w:val="00E67092"/>
    <w:rsid w:val="00E72982"/>
    <w:rsid w:val="00E85D0F"/>
    <w:rsid w:val="00E95F3C"/>
    <w:rsid w:val="00EA140F"/>
    <w:rsid w:val="00EA2698"/>
    <w:rsid w:val="00EC72A2"/>
    <w:rsid w:val="00EF066E"/>
    <w:rsid w:val="00EF07DF"/>
    <w:rsid w:val="00EF5A54"/>
    <w:rsid w:val="00F12B33"/>
    <w:rsid w:val="00F16F68"/>
    <w:rsid w:val="00F30FCF"/>
    <w:rsid w:val="00F33094"/>
    <w:rsid w:val="00F339CD"/>
    <w:rsid w:val="00F37729"/>
    <w:rsid w:val="00F47B2A"/>
    <w:rsid w:val="00F50E5D"/>
    <w:rsid w:val="00F53FA7"/>
    <w:rsid w:val="00F55F8F"/>
    <w:rsid w:val="00F56BA5"/>
    <w:rsid w:val="00F706D2"/>
    <w:rsid w:val="00F74A39"/>
    <w:rsid w:val="00F816AA"/>
    <w:rsid w:val="00F8759E"/>
    <w:rsid w:val="00F955E4"/>
    <w:rsid w:val="00FB237F"/>
    <w:rsid w:val="00FB29C8"/>
    <w:rsid w:val="00FB4CB5"/>
    <w:rsid w:val="00FC4B28"/>
    <w:rsid w:val="00FC64B5"/>
    <w:rsid w:val="00FD08C4"/>
    <w:rsid w:val="00FD4607"/>
    <w:rsid w:val="00FE3416"/>
    <w:rsid w:val="00FF11E6"/>
    <w:rsid w:val="00FF4985"/>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D7"/>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20FF5"/>
    <w:rPr>
      <w:rFonts w:cs="Calibri"/>
      <w:lang w:val="en-US" w:eastAsia="en-US"/>
    </w:rPr>
  </w:style>
  <w:style w:type="paragraph" w:styleId="ListParagraph">
    <w:name w:val="List Paragraph"/>
    <w:basedOn w:val="Normal"/>
    <w:uiPriority w:val="99"/>
    <w:qFormat/>
    <w:rsid w:val="007A60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5</Pages>
  <Words>1197</Words>
  <Characters>9702</Characters>
  <Application>Microsoft Office Outlook</Application>
  <DocSecurity>0</DocSecurity>
  <Lines>0</Lines>
  <Paragraphs>0</Paragraphs>
  <ScaleCrop>false</ScaleCrop>
  <Company>University of Helsinki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GOHERR  - Integrated governance of Baltic herring and salmon stocks involving stakeholders</dc:title>
  <dc:subject/>
  <dc:creator>phaapasa</dc:creator>
  <cp:keywords/>
  <dc:description/>
  <cp:lastModifiedBy>Hapsu</cp:lastModifiedBy>
  <cp:revision>11</cp:revision>
  <dcterms:created xsi:type="dcterms:W3CDTF">2015-05-16T08:27:00Z</dcterms:created>
  <dcterms:modified xsi:type="dcterms:W3CDTF">2015-05-16T09:41:00Z</dcterms:modified>
</cp:coreProperties>
</file>